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84A33" w14:textId="77777777" w:rsidR="00552232" w:rsidRDefault="00552232">
      <w:pPr>
        <w:widowControl/>
        <w:rPr>
          <w:rFonts w:ascii="Minion Pro" w:hAnsi="Minion Pro" w:cs="Minion Pro"/>
          <w:b/>
          <w:bCs/>
          <w:sz w:val="20"/>
          <w:szCs w:val="20"/>
        </w:rPr>
      </w:pPr>
    </w:p>
    <w:p w14:paraId="38B34611" w14:textId="03A54E9A" w:rsidR="00552232" w:rsidRDefault="00552232">
      <w:pPr>
        <w:widowControl/>
        <w:rPr>
          <w:rFonts w:ascii="Minion Pro" w:hAnsi="Minion Pro" w:cs="Minion Pro"/>
          <w:b/>
          <w:bCs/>
          <w:sz w:val="20"/>
          <w:szCs w:val="20"/>
        </w:rPr>
      </w:pPr>
    </w:p>
    <w:p w14:paraId="5093D537" w14:textId="77777777" w:rsidR="00552232" w:rsidRDefault="00000000">
      <w:pPr>
        <w:widowControl/>
        <w:rPr>
          <w:rFonts w:ascii="Minion Pro" w:hAnsi="Minion Pro" w:cs="Minion Pro"/>
          <w:sz w:val="20"/>
          <w:szCs w:val="20"/>
        </w:rPr>
      </w:pPr>
      <w:r>
        <w:rPr>
          <w:rFonts w:ascii="Minion Pro" w:hAnsi="Minion Pro" w:cs="Minion Pro"/>
          <w:sz w:val="20"/>
          <w:szCs w:val="20"/>
        </w:rPr>
        <w:t>Fig S1: Univariate and multivariate Cox regression analysis of EVI2A</w:t>
      </w:r>
    </w:p>
    <w:p w14:paraId="52676D0E" w14:textId="77777777" w:rsidR="00552232" w:rsidRDefault="00552232">
      <w:pPr>
        <w:widowControl/>
        <w:rPr>
          <w:rFonts w:ascii="Minion Pro" w:hAnsi="Minion Pro" w:cs="Minion Pro"/>
          <w:sz w:val="20"/>
          <w:szCs w:val="20"/>
        </w:rPr>
      </w:pPr>
    </w:p>
    <w:p w14:paraId="64CF9643" w14:textId="77777777" w:rsidR="00552232" w:rsidRDefault="00552232">
      <w:pPr>
        <w:widowControl/>
        <w:rPr>
          <w:rFonts w:ascii="Minion Pro" w:hAnsi="Minion Pro" w:cs="Minion Pro"/>
          <w:sz w:val="20"/>
          <w:szCs w:val="20"/>
        </w:rPr>
      </w:pPr>
    </w:p>
    <w:p w14:paraId="0AC482ED" w14:textId="77C5261C" w:rsidR="00552232" w:rsidRDefault="00552232">
      <w:pPr>
        <w:widowControl/>
        <w:rPr>
          <w:rFonts w:ascii="Minion Pro" w:hAnsi="Minion Pro" w:cs="Minion Pro"/>
          <w:sz w:val="20"/>
          <w:szCs w:val="20"/>
        </w:rPr>
      </w:pPr>
    </w:p>
    <w:p w14:paraId="2FDF77DE" w14:textId="77777777" w:rsidR="00552232" w:rsidRDefault="00000000">
      <w:pPr>
        <w:rPr>
          <w:rFonts w:ascii="Minion Pro" w:hAnsi="Minion Pro" w:cs="Minion Pro"/>
          <w:sz w:val="20"/>
          <w:szCs w:val="20"/>
        </w:rPr>
      </w:pPr>
      <w:r>
        <w:rPr>
          <w:rFonts w:ascii="Minion Pro" w:hAnsi="Minion Pro" w:cs="Minion Pro"/>
          <w:sz w:val="20"/>
          <w:szCs w:val="20"/>
        </w:rPr>
        <w:t>Fig S2: Co-expression analysis of EVI2A.</w:t>
      </w:r>
    </w:p>
    <w:p w14:paraId="2B065B36" w14:textId="77777777" w:rsidR="00552232" w:rsidRDefault="00552232">
      <w:pPr>
        <w:rPr>
          <w:rFonts w:ascii="Minion Pro" w:hAnsi="Minion Pro" w:cs="Minion Pro"/>
          <w:sz w:val="20"/>
          <w:szCs w:val="20"/>
        </w:rPr>
      </w:pPr>
    </w:p>
    <w:p w14:paraId="2DE5FF1C" w14:textId="6153FAE7" w:rsidR="00552232" w:rsidRDefault="00552232">
      <w:pPr>
        <w:rPr>
          <w:rFonts w:ascii="Minion Pro" w:hAnsi="Minion Pro" w:cs="Minion Pro"/>
          <w:b/>
          <w:sz w:val="20"/>
          <w:szCs w:val="20"/>
        </w:rPr>
      </w:pPr>
    </w:p>
    <w:p w14:paraId="6B789C80" w14:textId="77777777" w:rsidR="00552232" w:rsidRDefault="00000000">
      <w:pPr>
        <w:rPr>
          <w:rFonts w:ascii="Minion Pro" w:hAnsi="Minion Pro" w:cs="Minion Pro"/>
          <w:sz w:val="20"/>
          <w:szCs w:val="20"/>
        </w:rPr>
      </w:pPr>
      <w:r>
        <w:rPr>
          <w:rFonts w:ascii="Minion Pro" w:hAnsi="Minion Pro" w:cs="Minion Pro"/>
          <w:sz w:val="20"/>
          <w:szCs w:val="20"/>
        </w:rPr>
        <w:t>Fig S3: Quantitative analysis of EVI2A expression across the various cell groups.</w:t>
      </w:r>
    </w:p>
    <w:p w14:paraId="0D18D7B5" w14:textId="77777777" w:rsidR="00552232" w:rsidRDefault="00552232"/>
    <w:sectPr w:rsidR="005522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17931E52"/>
    <w:rsid w:val="001E0374"/>
    <w:rsid w:val="00552232"/>
    <w:rsid w:val="17931E52"/>
    <w:rsid w:val="28F504EF"/>
    <w:rsid w:val="2CAA4AF5"/>
    <w:rsid w:val="32867865"/>
    <w:rsid w:val="42213225"/>
    <w:rsid w:val="4E0E7B10"/>
    <w:rsid w:val="4F89218B"/>
    <w:rsid w:val="62C27B96"/>
    <w:rsid w:val="7A50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433442"/>
  <w15:docId w15:val="{B4017051-D9C3-4AB8-92A0-D689D032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TSP TSP</cp:lastModifiedBy>
  <cp:revision>2</cp:revision>
  <dcterms:created xsi:type="dcterms:W3CDTF">2024-01-31T09:15:00Z</dcterms:created>
  <dcterms:modified xsi:type="dcterms:W3CDTF">2024-03-04T08:13:00Z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B6D82DEF48374869A02FCB7D364F686A_11</vt:lpwstr>
  </property>
</Properties>
</file>